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D9" w:rsidRPr="000A0B53" w:rsidRDefault="00B52144" w:rsidP="008934D9">
      <w:pPr>
        <w:pStyle w:val="Style43"/>
        <w:widowControl/>
        <w:ind w:left="259"/>
        <w:jc w:val="center"/>
        <w:rPr>
          <w:rStyle w:val="FontStyle148"/>
          <w:rFonts w:ascii="Verdana" w:hAnsi="Verdana"/>
          <w:sz w:val="20"/>
          <w:szCs w:val="20"/>
        </w:rPr>
      </w:pPr>
      <w:r w:rsidRPr="000A0B53">
        <w:rPr>
          <w:rStyle w:val="FontStyle148"/>
          <w:rFonts w:ascii="Verdana" w:hAnsi="Verdana"/>
          <w:sz w:val="20"/>
          <w:szCs w:val="20"/>
        </w:rPr>
        <w:t xml:space="preserve">Правила вынесения заключения по результатам анкетирования граждан </w:t>
      </w:r>
    </w:p>
    <w:p w:rsidR="00B52144" w:rsidRPr="000A0B53" w:rsidRDefault="00B52144" w:rsidP="008934D9">
      <w:pPr>
        <w:pStyle w:val="Style43"/>
        <w:widowControl/>
        <w:ind w:left="259"/>
        <w:jc w:val="center"/>
        <w:rPr>
          <w:rStyle w:val="FontStyle148"/>
          <w:rFonts w:ascii="Verdana" w:hAnsi="Verdana"/>
          <w:sz w:val="20"/>
          <w:szCs w:val="20"/>
        </w:rPr>
      </w:pPr>
      <w:r w:rsidRPr="000A0B53">
        <w:rPr>
          <w:rStyle w:val="FontStyle148"/>
          <w:rFonts w:ascii="Verdana" w:hAnsi="Verdana"/>
          <w:sz w:val="20"/>
          <w:szCs w:val="20"/>
        </w:rPr>
        <w:t>75 лет и</w:t>
      </w:r>
      <w:r w:rsidR="008934D9" w:rsidRPr="000A0B53">
        <w:rPr>
          <w:rStyle w:val="FontStyle148"/>
          <w:rFonts w:ascii="Verdana" w:hAnsi="Verdana"/>
          <w:sz w:val="20"/>
          <w:szCs w:val="20"/>
        </w:rPr>
        <w:t xml:space="preserve"> </w:t>
      </w:r>
      <w:r w:rsidRPr="000A0B53">
        <w:rPr>
          <w:rStyle w:val="FontStyle148"/>
          <w:rFonts w:ascii="Verdana" w:hAnsi="Verdana"/>
          <w:sz w:val="20"/>
          <w:szCs w:val="20"/>
        </w:rPr>
        <w:t>старше</w:t>
      </w:r>
    </w:p>
    <w:p w:rsidR="00B52144" w:rsidRPr="000A0B53" w:rsidRDefault="00B52144" w:rsidP="005B6B5B">
      <w:pPr>
        <w:widowControl/>
        <w:rPr>
          <w:rFonts w:ascii="Verdana" w:hAnsi="Verdana"/>
          <w:sz w:val="20"/>
          <w:szCs w:val="20"/>
        </w:rPr>
      </w:pPr>
    </w:p>
    <w:tbl>
      <w:tblPr>
        <w:tblW w:w="107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3402"/>
        <w:gridCol w:w="6237"/>
      </w:tblGrid>
      <w:tr w:rsidR="00530F5C" w:rsidRPr="000A0B53" w:rsidTr="00DB4FD6"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F5C" w:rsidRPr="000A0B53" w:rsidRDefault="00530F5C" w:rsidP="000A0B53">
            <w:pPr>
              <w:pStyle w:val="Style42"/>
              <w:widowControl/>
              <w:spacing w:line="240" w:lineRule="auto"/>
              <w:jc w:val="center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Вопросы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0F5C" w:rsidRPr="000A0B53" w:rsidRDefault="00530F5C" w:rsidP="000A0B53">
            <w:pPr>
              <w:pStyle w:val="Style42"/>
              <w:widowControl/>
              <w:spacing w:line="240" w:lineRule="auto"/>
              <w:ind w:left="16"/>
              <w:jc w:val="center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Ответ и заключение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0F5C" w:rsidRPr="000A0B53" w:rsidRDefault="00530F5C" w:rsidP="000A0B53">
            <w:pPr>
              <w:pStyle w:val="Style42"/>
              <w:widowControl/>
              <w:spacing w:line="240" w:lineRule="auto"/>
              <w:jc w:val="center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Врачебная тактика, показания для</w:t>
            </w:r>
          </w:p>
        </w:tc>
      </w:tr>
      <w:tr w:rsidR="00530F5C" w:rsidRPr="000A0B53" w:rsidTr="00DB4FD6"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5C" w:rsidRPr="000A0B53" w:rsidRDefault="00530F5C" w:rsidP="000A0B53">
            <w:pPr>
              <w:pStyle w:val="Style52"/>
              <w:widowControl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F5C" w:rsidRPr="000A0B53" w:rsidRDefault="00530F5C" w:rsidP="000A0B53">
            <w:pPr>
              <w:pStyle w:val="Style52"/>
              <w:widowControl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F5C" w:rsidRPr="000A0B53" w:rsidRDefault="00530F5C" w:rsidP="000A0B53">
            <w:pPr>
              <w:pStyle w:val="Style42"/>
              <w:widowControl/>
              <w:spacing w:line="240" w:lineRule="auto"/>
              <w:ind w:left="-39"/>
              <w:jc w:val="center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направления на 2 этап диспансеризации</w:t>
            </w:r>
          </w:p>
        </w:tc>
      </w:tr>
      <w:tr w:rsidR="00530F5C" w:rsidRPr="000A0B53" w:rsidTr="00DB4FD6">
        <w:tc>
          <w:tcPr>
            <w:tcW w:w="10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5C" w:rsidRPr="000A0B53" w:rsidRDefault="00530F5C" w:rsidP="005B6B5B">
            <w:pPr>
              <w:pStyle w:val="Style42"/>
              <w:widowControl/>
              <w:spacing w:line="240" w:lineRule="auto"/>
              <w:jc w:val="center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Личный анамнез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Имеется указание на наличие заболевания в личном анамнезе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на вторую часть вопроса 1.1 - вероятность наличия медикаментозной гипотензивной терапии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B52144" w:rsidP="005B6B5B">
            <w:pPr>
              <w:pStyle w:val="Style28"/>
              <w:widowControl/>
              <w:spacing w:line="240" w:lineRule="auto"/>
              <w:ind w:left="10" w:hanging="10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Уточнить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 xml:space="preserve">документальное подтверждение заболевания (амб. карта/выписки и др.); 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10" w:hanging="10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DB4FD6">
              <w:rPr>
                <w:rStyle w:val="FontStyle145"/>
                <w:rFonts w:ascii="Verdana" w:hAnsi="Verdana"/>
                <w:spacing w:val="-18"/>
                <w:sz w:val="20"/>
                <w:szCs w:val="20"/>
              </w:rPr>
              <w:t xml:space="preserve">Зарегистрировать </w:t>
            </w: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диагноз заболевания в учетных формах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.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С учетом уровня АД у пациента, ответившего «ДА» на вторую часть вопроса 1.1, внести информацию об эффективности гипотензивной терапии в учетно-отчетные формы</w:t>
            </w:r>
          </w:p>
        </w:tc>
      </w:tr>
      <w:tr w:rsidR="00530F5C" w:rsidRPr="000A0B53" w:rsidTr="00DB4FD6">
        <w:trPr>
          <w:trHeight w:val="501"/>
        </w:trPr>
        <w:tc>
          <w:tcPr>
            <w:tcW w:w="10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0F5C" w:rsidRPr="000A0B53" w:rsidRDefault="00530F5C" w:rsidP="00E11BD0">
            <w:pPr>
              <w:pStyle w:val="Style42"/>
              <w:widowControl/>
              <w:spacing w:line="240" w:lineRule="auto"/>
              <w:jc w:val="center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Вероятность ССЗ (стенокардии и нарушений мозгового кровообращения, </w:t>
            </w:r>
          </w:p>
          <w:p w:rsidR="00530F5C" w:rsidRPr="000A0B53" w:rsidRDefault="00530F5C" w:rsidP="00E11BD0">
            <w:pPr>
              <w:pStyle w:val="Style42"/>
              <w:widowControl/>
              <w:spacing w:line="240" w:lineRule="auto"/>
              <w:jc w:val="center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недостаточности кровообращения)</w:t>
            </w:r>
          </w:p>
        </w:tc>
      </w:tr>
      <w:tr w:rsidR="00530F5C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5C" w:rsidRPr="000A0B53" w:rsidRDefault="00530F5C" w:rsidP="00530F5C">
            <w:pPr>
              <w:pStyle w:val="Style28"/>
              <w:widowControl/>
              <w:spacing w:line="240" w:lineRule="auto"/>
              <w:ind w:left="-53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Вопросы 2-3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5C" w:rsidRPr="000A0B53" w:rsidRDefault="00530F5C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на вопрос 2 или на оба вопроса - вероятность стенокардии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5C" w:rsidRPr="000A0B53" w:rsidRDefault="00530F5C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pacing w:val="-18"/>
                <w:sz w:val="20"/>
                <w:szCs w:val="20"/>
              </w:rPr>
              <w:t xml:space="preserve">Провести </w:t>
            </w:r>
            <w:r w:rsidRPr="000A0B53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вне рамок диспансеризации необходимые обследования в соответствии со стандартом медицинской помощи при стенокардии для уточнения диагноза</w:t>
            </w:r>
          </w:p>
          <w:p w:rsidR="00530F5C" w:rsidRPr="000A0B53" w:rsidRDefault="00530F5C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При профилактическом консультировании информировать пациента о необходимости обследования и уточнения наличия стенокардии. При проведении УПК - учесть наличие факторов риска</w:t>
            </w:r>
          </w:p>
          <w:p w:rsidR="00530F5C" w:rsidRPr="00DB4FD6" w:rsidRDefault="00530F5C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</w:pPr>
            <w:r w:rsidRPr="00DB4FD6">
              <w:rPr>
                <w:rStyle w:val="FontStyle145"/>
                <w:rFonts w:ascii="Verdana" w:hAnsi="Verdana"/>
                <w:spacing w:val="-18"/>
                <w:sz w:val="20"/>
                <w:szCs w:val="20"/>
              </w:rPr>
              <w:t xml:space="preserve">Объяснить </w:t>
            </w: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о высоком риске развития угрожающих жизни состояний при стенокардии, характерных проявлениях этих состояний и необходимых неотложных мерах, включая своевременный вызов скорой медицинской помощи.</w:t>
            </w:r>
          </w:p>
          <w:p w:rsidR="00530F5C" w:rsidRPr="000A0B53" w:rsidRDefault="00530F5C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Рассмотреть необходимость назначения медикаментозной терапии</w:t>
            </w:r>
          </w:p>
          <w:p w:rsidR="00530F5C" w:rsidRPr="000A0B53" w:rsidRDefault="00530F5C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Обратить внимание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на сопутствующие факторы риска и важность их коррекции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Вопросы 4-6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на любой из вопросов - наличие ТИА/ОНМК высоко вероятно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Направить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пациента на консультацию (осмотр) к врачу неврологу для определения дальнейшего обследования (дуплексное сканирование БЦА в рамках диспансеризации) и рассмотрит необходимость назначения медикаментозного лечения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Информировать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 высоком риске развития инсульта, о характерных проявлениях инсульта и необходимых неотложных мероприятиях, включая своевременный вызов скорой медицинской помощи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При проведении УПК - учесть наличие факторов</w:t>
            </w:r>
          </w:p>
        </w:tc>
      </w:tr>
      <w:tr w:rsidR="000A0B53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CB0FA9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вероятно наличие сердечной недостаточности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Уточнить </w:t>
            </w: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 xml:space="preserve">характер жалоб, по показаниям назначить дополнительное обследование в соответствии со стандартом медицинской помощи при хронической сердечной недостаточности вне </w:t>
            </w: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рамок диспансеризации; 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Cs/>
                <w:sz w:val="20"/>
                <w:szCs w:val="20"/>
              </w:rPr>
            </w:pPr>
            <w:r w:rsidRPr="00DB4FD6">
              <w:rPr>
                <w:rStyle w:val="FontStyle145"/>
                <w:rFonts w:ascii="Verdana" w:hAnsi="Verdana"/>
                <w:spacing w:val="-18"/>
                <w:sz w:val="20"/>
                <w:szCs w:val="20"/>
              </w:rPr>
              <w:t xml:space="preserve">Информировать </w:t>
            </w:r>
            <w:r w:rsidRPr="00DB4FD6">
              <w:rPr>
                <w:rStyle w:val="FontStyle147"/>
                <w:rFonts w:ascii="Verdana" w:hAnsi="Verdana"/>
                <w:bCs/>
                <w:spacing w:val="-18"/>
                <w:sz w:val="20"/>
                <w:szCs w:val="20"/>
              </w:rPr>
              <w:t>граждан о высоком риске развития острой сердечной недостаточности, о ее характерных проявлениях и необходимых неотложных мероприятиях, включая своевременный вызов бригады скорой медицинской помощи</w:t>
            </w: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.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/>
                <w:bCs/>
                <w:spacing w:val="-18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bCs/>
                <w:spacing w:val="-18"/>
                <w:sz w:val="20"/>
                <w:szCs w:val="20"/>
              </w:rPr>
              <w:t>При проведении УПК - учесть наличие факторов риска</w:t>
            </w:r>
          </w:p>
        </w:tc>
      </w:tr>
      <w:tr w:rsidR="00E11BD0" w:rsidRPr="000A0B53" w:rsidTr="00DB4FD6">
        <w:tc>
          <w:tcPr>
            <w:tcW w:w="10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ind w:firstLine="5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bCs w:val="0"/>
                <w:sz w:val="20"/>
                <w:szCs w:val="20"/>
              </w:rPr>
              <w:t>Факторы риска - курение</w:t>
            </w:r>
          </w:p>
        </w:tc>
      </w:tr>
      <w:tr w:rsidR="000A0B53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CB0FA9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курит в настоящее время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При проведении УПК - учесть наличие фактора риска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/>
                <w:bCs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Рекомендовать</w:t>
            </w:r>
            <w:r w:rsidRPr="000A0B53">
              <w:rPr>
                <w:rStyle w:val="FontStyle145"/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отказ от курения</w:t>
            </w:r>
          </w:p>
        </w:tc>
      </w:tr>
      <w:tr w:rsidR="00E11BD0" w:rsidRPr="000A0B53" w:rsidTr="00DB4FD6">
        <w:tc>
          <w:tcPr>
            <w:tcW w:w="10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D0" w:rsidRPr="000A0B53" w:rsidRDefault="00E11BD0" w:rsidP="00E11BD0">
            <w:pPr>
              <w:pStyle w:val="Style28"/>
              <w:ind w:firstLine="5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bCs w:val="0"/>
                <w:sz w:val="20"/>
                <w:szCs w:val="20"/>
              </w:rPr>
              <w:t>Риск остеопороза</w:t>
            </w:r>
          </w:p>
        </w:tc>
      </w:tr>
      <w:tr w:rsidR="000A0B53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Вопросы 9,10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Ответы «ДА» на любой вопрос -имеется риск остеопороза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При проведении УПК - учесть наличие фактора риска</w:t>
            </w:r>
          </w:p>
          <w:p w:rsidR="00E11BD0" w:rsidRPr="000A0B53" w:rsidRDefault="00E11BD0" w:rsidP="00530F5C">
            <w:pPr>
              <w:pStyle w:val="Style28"/>
              <w:spacing w:line="240" w:lineRule="auto"/>
              <w:ind w:firstLine="5"/>
              <w:rPr>
                <w:rStyle w:val="FontStyle147"/>
                <w:rFonts w:ascii="Verdana" w:hAnsi="Verdana"/>
                <w:b/>
                <w:bCs/>
                <w:sz w:val="20"/>
                <w:szCs w:val="20"/>
              </w:rPr>
            </w:pPr>
            <w:r w:rsidRPr="00530F5C">
              <w:rPr>
                <w:rStyle w:val="FontStyle145"/>
                <w:rFonts w:ascii="Verdana" w:hAnsi="Verdana"/>
                <w:bCs w:val="0"/>
                <w:spacing w:val="-18"/>
                <w:sz w:val="20"/>
                <w:szCs w:val="20"/>
              </w:rPr>
              <w:t>Рекомендовать</w:t>
            </w:r>
            <w:r w:rsidRPr="00530F5C">
              <w:rPr>
                <w:rStyle w:val="FontStyle145"/>
                <w:rFonts w:ascii="Verdana" w:hAnsi="Verdana"/>
                <w:b w:val="0"/>
                <w:bCs w:val="0"/>
                <w:spacing w:val="-18"/>
                <w:sz w:val="20"/>
                <w:szCs w:val="20"/>
              </w:rPr>
              <w:t xml:space="preserve"> вне рамок диспансеризации</w:t>
            </w:r>
            <w:r w:rsidR="00530F5C">
              <w:rPr>
                <w:rStyle w:val="FontStyle145"/>
                <w:rFonts w:ascii="Verdana" w:hAnsi="Verdana"/>
                <w:b w:val="0"/>
                <w:bCs w:val="0"/>
                <w:spacing w:val="-18"/>
                <w:sz w:val="20"/>
                <w:szCs w:val="20"/>
              </w:rPr>
              <w:t xml:space="preserve"> </w:t>
            </w:r>
            <w:r w:rsidRPr="00530F5C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консультацию ревматолога или эндокринолога для определения показаний для дополнительного обследования вне рамок диспансеризации (денситометрию или рентгенографию позвоночника и др).</w:t>
            </w:r>
          </w:p>
        </w:tc>
      </w:tr>
      <w:tr w:rsidR="00E11BD0" w:rsidRPr="000A0B53" w:rsidTr="00DB4FD6">
        <w:tc>
          <w:tcPr>
            <w:tcW w:w="10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D0" w:rsidRPr="000A0B53" w:rsidRDefault="00E11BD0" w:rsidP="00E11BD0">
            <w:pPr>
              <w:pStyle w:val="Style28"/>
              <w:ind w:firstLine="5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bCs w:val="0"/>
                <w:sz w:val="20"/>
                <w:szCs w:val="20"/>
              </w:rPr>
              <w:t>Фактор риска - нерациональное питание</w:t>
            </w:r>
          </w:p>
        </w:tc>
      </w:tr>
      <w:tr w:rsidR="000A0B53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Вопросы 11 и 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«Нет» на оба вопроса -нерациональное питание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При проведении УПК - учесть наличие фактора риска</w:t>
            </w:r>
          </w:p>
        </w:tc>
      </w:tr>
      <w:tr w:rsidR="00E11BD0" w:rsidRPr="000A0B53" w:rsidTr="00DB4FD6">
        <w:tc>
          <w:tcPr>
            <w:tcW w:w="10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D0" w:rsidRPr="000A0B53" w:rsidRDefault="00E11BD0" w:rsidP="00E11BD0">
            <w:pPr>
              <w:pStyle w:val="Style28"/>
              <w:ind w:firstLine="5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bCs w:val="0"/>
                <w:sz w:val="20"/>
                <w:szCs w:val="20"/>
              </w:rPr>
              <w:t>Фактор риска - недостаточная физическая активность</w:t>
            </w:r>
          </w:p>
        </w:tc>
      </w:tr>
      <w:tr w:rsidR="000A0B53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CB0FA9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530F5C" w:rsidRDefault="00E11BD0" w:rsidP="00E11BD0">
            <w:pPr>
              <w:pStyle w:val="Style28"/>
              <w:spacing w:line="240" w:lineRule="auto"/>
              <w:ind w:left="5" w:hanging="5"/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</w:pPr>
            <w:r w:rsidRPr="00530F5C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Ответ «нет» Фактора риска «низкая физическая активность»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При проведении УПК - учесть наличие фактора риска</w:t>
            </w:r>
          </w:p>
        </w:tc>
      </w:tr>
      <w:tr w:rsidR="00E11BD0" w:rsidRPr="000A0B53" w:rsidTr="00DB4FD6">
        <w:trPr>
          <w:trHeight w:val="548"/>
        </w:trPr>
        <w:tc>
          <w:tcPr>
            <w:tcW w:w="10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1BD0" w:rsidRPr="000A0B53" w:rsidRDefault="00E11BD0" w:rsidP="00E11BD0">
            <w:pPr>
              <w:pStyle w:val="Style28"/>
              <w:ind w:left="5" w:hanging="5"/>
              <w:jc w:val="center"/>
              <w:rPr>
                <w:rStyle w:val="FontStyle145"/>
                <w:rFonts w:ascii="Verdana" w:hAnsi="Verdana"/>
                <w:bCs w:val="0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bCs w:val="0"/>
                <w:sz w:val="20"/>
                <w:szCs w:val="20"/>
              </w:rPr>
              <w:t>Шкала «Возраст не помеха»</w:t>
            </w:r>
          </w:p>
          <w:p w:rsidR="00E11BD0" w:rsidRPr="000A0B53" w:rsidRDefault="00E11BD0" w:rsidP="00E11BD0">
            <w:pPr>
              <w:pStyle w:val="Style28"/>
              <w:ind w:firstLine="5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Риск старческой астении</w:t>
            </w:r>
          </w:p>
        </w:tc>
      </w:tr>
      <w:tr w:rsidR="000A0B53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CB0FA9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имеется риск падений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учитывается в шкале "Возраст не помеха" при подсчете суммы баллов (ответ «Да»= 1 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Направить </w:t>
            </w:r>
            <w:r w:rsidRPr="000A0B53">
              <w:rPr>
                <w:rStyle w:val="FontStyle145"/>
                <w:rFonts w:ascii="Verdana" w:hAnsi="Verdana"/>
                <w:b w:val="0"/>
                <w:sz w:val="20"/>
                <w:szCs w:val="20"/>
              </w:rPr>
              <w:t xml:space="preserve">в </w:t>
            </w: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рамках 2 этапа диспансеризации на осмотр (консультацию) врача-невролога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/>
                <w:bCs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При проведении УПК - учесть наличие фактора риска</w:t>
            </w:r>
          </w:p>
        </w:tc>
      </w:tr>
      <w:tr w:rsidR="000A0B53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CB0FA9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вероятность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снижения зрения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учитывается в шкале</w:t>
            </w:r>
          </w:p>
          <w:p w:rsidR="00E11BD0" w:rsidRPr="000A0B53" w:rsidRDefault="00E11BD0" w:rsidP="000A0B53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"Возраст не помеха" при подсчете</w:t>
            </w:r>
            <w:r w:rsidR="000A0B53" w:rsidRPr="000A0B53"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суммы баллов (ответ «Да» = 1</w:t>
            </w:r>
            <w:r w:rsidR="000A0B53" w:rsidRPr="000A0B53"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Cs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Направить </w:t>
            </w: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на 2 этап диспансеризации на консультацию к врачу-офтальмологу.</w:t>
            </w:r>
          </w:p>
          <w:p w:rsidR="00E11BD0" w:rsidRPr="000A0B53" w:rsidRDefault="00E11BD0" w:rsidP="00E11BD0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b/>
                <w:bCs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bCs/>
                <w:sz w:val="20"/>
                <w:szCs w:val="20"/>
              </w:rPr>
              <w:t>При проведении УПК - учесть снижение зрения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риск снижения слуха Ответ учитывается в шкале "Возраст не помеха" при подсчете суммы баллов (ответ «Да» = 1 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Направить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на 2 этап диспансеризации на консультацию к ЛОР- врачу.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При проведении УПК - учесть снижение слуха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риск депрессии Ответ учитывается в шкале "Возраст не помеха" при подсчете суммы баллов (ответ «Да» = 1 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Направить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на 2 этап диспансеризации на консультацию к врачу-неврологу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При проведении УПК - учесть наличие риск депрессии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наличие проблемы с удержанием мочи Ответ учитывается в шкале "Возраст не помеха" при подсчете суммы баллов (ответ «Да» = 1 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 xml:space="preserve">При показаниях рекомендовать </w:t>
            </w: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вне рамок диспансеризации: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для мужчин осмотр (консультация) врача хирурга (врача уролога), для женщин - врача-уролога или врача-акушера-гинеколога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вероятность ограничения мобильности Ответ учитывается в шкале "Возраст не помеха" при подсчете суммы баллов (ответ «Да» = 1 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Оценить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состояние и определить причины симптоматики.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- вероятность наличия когнитивных нарушений. Ответ учитывается в шкале "Возраст не помеха" при подсчете суммы баллов (ответ «Да»= 1 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Определить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показания для дополнительного обследования вне рамок диспансеризации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«Да» на вопрос 21 учитывается в шкале "Возраст не помеха" при подсчете суммы баллов (ответ «Да» = 1 баллу)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Провести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детальный сбор анамнеза и жалоб, физикальное обследование с учетом полученных данных с целью уточнения причин снижения веса;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Определить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показания для дополнительного обследования вне рамок диспансеризации</w:t>
            </w:r>
          </w:p>
        </w:tc>
      </w:tr>
      <w:tr w:rsidR="00306DB0" w:rsidRPr="000A0B53" w:rsidTr="00DB4FD6">
        <w:trPr>
          <w:trHeight w:val="1406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6DB0" w:rsidRPr="00DB4FD6" w:rsidRDefault="00306DB0" w:rsidP="005B6B5B">
            <w:pPr>
              <w:pStyle w:val="Style28"/>
              <w:widowControl/>
              <w:spacing w:line="240" w:lineRule="auto"/>
              <w:jc w:val="center"/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</w:pP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СУММА</w:t>
            </w:r>
            <w:r w:rsid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 xml:space="preserve"> </w:t>
            </w: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ответов</w:t>
            </w:r>
            <w:r w:rsid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 xml:space="preserve"> </w:t>
            </w: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«Да»</w:t>
            </w:r>
          </w:p>
          <w:p w:rsidR="00306DB0" w:rsidRPr="000A0B53" w:rsidRDefault="00306DB0" w:rsidP="00DB4FD6">
            <w:pPr>
              <w:pStyle w:val="Style28"/>
              <w:widowControl/>
              <w:spacing w:line="240" w:lineRule="auto"/>
              <w:ind w:right="-181"/>
              <w:jc w:val="center"/>
              <w:rPr>
                <w:rFonts w:ascii="Verdana" w:hAnsi="Verdana"/>
                <w:sz w:val="20"/>
                <w:szCs w:val="20"/>
              </w:rPr>
            </w:pP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(баллов)</w:t>
            </w:r>
            <w:r w:rsid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 xml:space="preserve"> </w:t>
            </w: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на вопросы</w:t>
            </w:r>
            <w:r w:rsid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 xml:space="preserve"> </w:t>
            </w:r>
            <w:r w:rsidRPr="00DB4FD6">
              <w:rPr>
                <w:rStyle w:val="FontStyle147"/>
                <w:rFonts w:ascii="Verdana" w:hAnsi="Verdana"/>
                <w:spacing w:val="-18"/>
                <w:sz w:val="20"/>
                <w:szCs w:val="20"/>
              </w:rPr>
              <w:t>14-21)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06DB0" w:rsidRPr="000A0B53" w:rsidRDefault="00306DB0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Сумма баллов 3 и более (ответов</w:t>
            </w:r>
            <w:r w:rsidR="00DB4FD6"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«да» на вопросы 14-21) -</w:t>
            </w:r>
          </w:p>
          <w:p w:rsidR="00306DB0" w:rsidRPr="000A0B53" w:rsidRDefault="00306DB0" w:rsidP="005B6B5B">
            <w:pPr>
              <w:pStyle w:val="Style28"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Имеется риск старческой астении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B0" w:rsidRPr="000A0B53" w:rsidRDefault="00306DB0" w:rsidP="005B6B5B">
            <w:pPr>
              <w:pStyle w:val="Style52"/>
              <w:widowControl/>
              <w:rPr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Провести на 2 этапе углубленное</w:t>
            </w:r>
            <w:r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профилактическое консультирование с целью</w:t>
            </w:r>
            <w:r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профилактики старческой астении и</w:t>
            </w:r>
            <w:r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определить показания для направления к</w:t>
            </w:r>
            <w:r>
              <w:rPr>
                <w:rStyle w:val="FontStyle145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врачу-гериатру</w:t>
            </w:r>
          </w:p>
        </w:tc>
      </w:tr>
      <w:tr w:rsidR="00B52144" w:rsidRPr="000A0B53" w:rsidTr="00DB4FD6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144" w:rsidRPr="000A0B53" w:rsidRDefault="00B52144" w:rsidP="00DB4FD6">
            <w:pPr>
              <w:pStyle w:val="Style64"/>
              <w:widowControl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Вопросы 21-23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Ответ "Да" на вопрос 21 в сочетании с ответом «Нет» на вопрос 22 и ответом «Да» на вопрос 23 - вероятность онкопатологии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2144" w:rsidRPr="000A0B53" w:rsidRDefault="00B52144" w:rsidP="005B6B5B">
            <w:pPr>
              <w:pStyle w:val="Style28"/>
              <w:widowControl/>
              <w:spacing w:line="240" w:lineRule="auto"/>
              <w:ind w:firstLine="5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 xml:space="preserve">Провести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детальный сбор анамнеза и жалоб, физикальное обследование с учетом полученных данных с целью уточнения причин снижения веса;</w:t>
            </w:r>
          </w:p>
          <w:p w:rsidR="00B52144" w:rsidRPr="000A0B53" w:rsidRDefault="00B52144" w:rsidP="005B6B5B">
            <w:pPr>
              <w:pStyle w:val="Style28"/>
              <w:widowControl/>
              <w:spacing w:line="240" w:lineRule="auto"/>
              <w:ind w:left="5" w:hanging="5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 xml:space="preserve">Определить показания для дополнительного обследования </w:t>
            </w: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вне рамок диспансеризации;</w:t>
            </w:r>
          </w:p>
        </w:tc>
      </w:tr>
      <w:tr w:rsidR="00DB4FD6" w:rsidRPr="000A0B53" w:rsidTr="00DB4FD6">
        <w:tc>
          <w:tcPr>
            <w:tcW w:w="10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D6" w:rsidRPr="000A0B53" w:rsidRDefault="00DB4FD6" w:rsidP="00DB4FD6">
            <w:pPr>
              <w:pStyle w:val="Style52"/>
              <w:widowControl/>
              <w:jc w:val="center"/>
              <w:rPr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Полипрагмазия</w:t>
            </w:r>
          </w:p>
        </w:tc>
      </w:tr>
      <w:tr w:rsidR="00530F5C" w:rsidRPr="000A0B53" w:rsidTr="00DB4FD6">
        <w:trPr>
          <w:trHeight w:val="84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C" w:rsidRPr="000A0B53" w:rsidRDefault="00530F5C" w:rsidP="005B6B5B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Вопрос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C" w:rsidRPr="000A0B53" w:rsidRDefault="00530F5C" w:rsidP="00DB4FD6">
            <w:pPr>
              <w:pStyle w:val="Style42"/>
              <w:widowControl/>
              <w:spacing w:line="240" w:lineRule="auto"/>
              <w:rPr>
                <w:rStyle w:val="FontStyle145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 xml:space="preserve">Если пациент </w:t>
            </w:r>
            <w:r w:rsidRPr="000A0B53">
              <w:rPr>
                <w:rStyle w:val="FontStyle145"/>
                <w:rFonts w:ascii="Verdana" w:hAnsi="Verdana"/>
                <w:sz w:val="20"/>
                <w:szCs w:val="20"/>
              </w:rPr>
              <w:t>называет 5 и более</w:t>
            </w:r>
            <w:r>
              <w:rPr>
                <w:rStyle w:val="FontStyle145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лекарственных средств выявлена</w:t>
            </w:r>
            <w:r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полипрагмазия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C" w:rsidRPr="000A0B53" w:rsidRDefault="00530F5C" w:rsidP="00DB4FD6">
            <w:pPr>
              <w:pStyle w:val="Style28"/>
              <w:widowControl/>
              <w:spacing w:line="240" w:lineRule="auto"/>
              <w:rPr>
                <w:rStyle w:val="FontStyle147"/>
                <w:rFonts w:ascii="Verdana" w:hAnsi="Verdana"/>
                <w:sz w:val="20"/>
                <w:szCs w:val="20"/>
              </w:rPr>
            </w:pP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Контроль (ревизия) назначенного лечения</w:t>
            </w:r>
            <w:r w:rsidR="00DB4FD6"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и инструктаж приема лекарственных</w:t>
            </w:r>
            <w:r w:rsidR="00DB4FD6">
              <w:rPr>
                <w:rStyle w:val="FontStyle147"/>
                <w:rFonts w:ascii="Verdana" w:hAnsi="Verdana"/>
                <w:sz w:val="20"/>
                <w:szCs w:val="20"/>
              </w:rPr>
              <w:t xml:space="preserve"> </w:t>
            </w:r>
            <w:r w:rsidRPr="000A0B53">
              <w:rPr>
                <w:rStyle w:val="FontStyle147"/>
                <w:rFonts w:ascii="Verdana" w:hAnsi="Verdana"/>
                <w:sz w:val="20"/>
                <w:szCs w:val="20"/>
              </w:rPr>
              <w:t>средств.</w:t>
            </w:r>
          </w:p>
        </w:tc>
      </w:tr>
    </w:tbl>
    <w:p w:rsidR="007B35B0" w:rsidRPr="000A0B53" w:rsidRDefault="007B35B0" w:rsidP="005B6B5B">
      <w:pPr>
        <w:rPr>
          <w:rFonts w:ascii="Verdana" w:hAnsi="Verdana"/>
          <w:sz w:val="20"/>
          <w:szCs w:val="20"/>
        </w:rPr>
      </w:pPr>
    </w:p>
    <w:sectPr w:rsidR="007B35B0" w:rsidRPr="000A0B53" w:rsidSect="000A0B53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55" w:rsidRDefault="00773855" w:rsidP="00B52144">
      <w:r>
        <w:separator/>
      </w:r>
    </w:p>
  </w:endnote>
  <w:endnote w:type="continuationSeparator" w:id="0">
    <w:p w:rsidR="00773855" w:rsidRDefault="00773855" w:rsidP="00B5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55" w:rsidRDefault="00773855" w:rsidP="00B52144">
      <w:r>
        <w:separator/>
      </w:r>
    </w:p>
  </w:footnote>
  <w:footnote w:type="continuationSeparator" w:id="0">
    <w:p w:rsidR="00773855" w:rsidRDefault="00773855" w:rsidP="00B5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44"/>
    <w:rsid w:val="000A0B53"/>
    <w:rsid w:val="000A6B50"/>
    <w:rsid w:val="002B1DED"/>
    <w:rsid w:val="00306DB0"/>
    <w:rsid w:val="004C239A"/>
    <w:rsid w:val="00530F5C"/>
    <w:rsid w:val="005B6B5B"/>
    <w:rsid w:val="005E19B1"/>
    <w:rsid w:val="00750588"/>
    <w:rsid w:val="00773855"/>
    <w:rsid w:val="007B35B0"/>
    <w:rsid w:val="00805375"/>
    <w:rsid w:val="008934D9"/>
    <w:rsid w:val="009721A3"/>
    <w:rsid w:val="00A75325"/>
    <w:rsid w:val="00AB3832"/>
    <w:rsid w:val="00B52144"/>
    <w:rsid w:val="00C12C04"/>
    <w:rsid w:val="00C41FF5"/>
    <w:rsid w:val="00C77673"/>
    <w:rsid w:val="00CC6D34"/>
    <w:rsid w:val="00DB4FD6"/>
    <w:rsid w:val="00E1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5272"/>
  <w15:chartTrackingRefBased/>
  <w15:docId w15:val="{38580472-E197-4A0E-B8A2-4D5E7D2D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4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B52144"/>
    <w:pPr>
      <w:spacing w:line="319" w:lineRule="exact"/>
      <w:ind w:firstLine="442"/>
      <w:jc w:val="both"/>
    </w:pPr>
  </w:style>
  <w:style w:type="paragraph" w:customStyle="1" w:styleId="Style23">
    <w:name w:val="Style23"/>
    <w:basedOn w:val="a"/>
    <w:uiPriority w:val="99"/>
    <w:rsid w:val="00B52144"/>
    <w:pPr>
      <w:spacing w:line="322" w:lineRule="exact"/>
      <w:ind w:firstLine="701"/>
      <w:jc w:val="both"/>
    </w:pPr>
  </w:style>
  <w:style w:type="paragraph" w:customStyle="1" w:styleId="Style28">
    <w:name w:val="Style28"/>
    <w:basedOn w:val="a"/>
    <w:uiPriority w:val="99"/>
    <w:rsid w:val="00B52144"/>
    <w:pPr>
      <w:spacing w:line="266" w:lineRule="exact"/>
    </w:pPr>
  </w:style>
  <w:style w:type="paragraph" w:customStyle="1" w:styleId="Style36">
    <w:name w:val="Style36"/>
    <w:basedOn w:val="a"/>
    <w:uiPriority w:val="99"/>
    <w:rsid w:val="00B52144"/>
    <w:pPr>
      <w:spacing w:line="331" w:lineRule="exact"/>
      <w:ind w:hanging="552"/>
    </w:pPr>
  </w:style>
  <w:style w:type="paragraph" w:customStyle="1" w:styleId="Style42">
    <w:name w:val="Style42"/>
    <w:basedOn w:val="a"/>
    <w:uiPriority w:val="99"/>
    <w:rsid w:val="00B52144"/>
    <w:pPr>
      <w:spacing w:line="266" w:lineRule="exact"/>
    </w:pPr>
  </w:style>
  <w:style w:type="paragraph" w:customStyle="1" w:styleId="Style43">
    <w:name w:val="Style43"/>
    <w:basedOn w:val="a"/>
    <w:uiPriority w:val="99"/>
    <w:rsid w:val="00B52144"/>
  </w:style>
  <w:style w:type="paragraph" w:customStyle="1" w:styleId="Style45">
    <w:name w:val="Style45"/>
    <w:basedOn w:val="a"/>
    <w:uiPriority w:val="99"/>
    <w:rsid w:val="00B52144"/>
  </w:style>
  <w:style w:type="paragraph" w:customStyle="1" w:styleId="Style52">
    <w:name w:val="Style52"/>
    <w:basedOn w:val="a"/>
    <w:uiPriority w:val="99"/>
    <w:rsid w:val="00B52144"/>
  </w:style>
  <w:style w:type="paragraph" w:customStyle="1" w:styleId="Style64">
    <w:name w:val="Style64"/>
    <w:basedOn w:val="a"/>
    <w:uiPriority w:val="99"/>
    <w:rsid w:val="00B52144"/>
    <w:pPr>
      <w:jc w:val="center"/>
    </w:pPr>
  </w:style>
  <w:style w:type="paragraph" w:customStyle="1" w:styleId="Style67">
    <w:name w:val="Style67"/>
    <w:basedOn w:val="a"/>
    <w:uiPriority w:val="99"/>
    <w:rsid w:val="00B52144"/>
    <w:pPr>
      <w:spacing w:line="278" w:lineRule="exact"/>
      <w:ind w:firstLine="355"/>
    </w:pPr>
  </w:style>
  <w:style w:type="paragraph" w:customStyle="1" w:styleId="Style76">
    <w:name w:val="Style76"/>
    <w:basedOn w:val="a"/>
    <w:uiPriority w:val="99"/>
    <w:rsid w:val="00B52144"/>
    <w:pPr>
      <w:spacing w:line="278" w:lineRule="exact"/>
      <w:jc w:val="center"/>
    </w:pPr>
  </w:style>
  <w:style w:type="paragraph" w:customStyle="1" w:styleId="Style77">
    <w:name w:val="Style77"/>
    <w:basedOn w:val="a"/>
    <w:uiPriority w:val="99"/>
    <w:rsid w:val="00B52144"/>
    <w:pPr>
      <w:spacing w:line="278" w:lineRule="exact"/>
      <w:ind w:firstLine="1138"/>
    </w:pPr>
  </w:style>
  <w:style w:type="paragraph" w:customStyle="1" w:styleId="Style98">
    <w:name w:val="Style98"/>
    <w:basedOn w:val="a"/>
    <w:uiPriority w:val="99"/>
    <w:rsid w:val="00B52144"/>
    <w:pPr>
      <w:jc w:val="both"/>
    </w:pPr>
  </w:style>
  <w:style w:type="paragraph" w:customStyle="1" w:styleId="Style107">
    <w:name w:val="Style107"/>
    <w:basedOn w:val="a"/>
    <w:uiPriority w:val="99"/>
    <w:rsid w:val="00B52144"/>
    <w:pPr>
      <w:jc w:val="both"/>
    </w:pPr>
  </w:style>
  <w:style w:type="paragraph" w:customStyle="1" w:styleId="Style113">
    <w:name w:val="Style113"/>
    <w:basedOn w:val="a"/>
    <w:uiPriority w:val="99"/>
    <w:rsid w:val="00B52144"/>
  </w:style>
  <w:style w:type="character" w:customStyle="1" w:styleId="FontStyle145">
    <w:name w:val="Font Style145"/>
    <w:basedOn w:val="a0"/>
    <w:uiPriority w:val="99"/>
    <w:rsid w:val="00B52144"/>
    <w:rPr>
      <w:rFonts w:ascii="Segoe UI" w:hAnsi="Segoe UI" w:cs="Segoe UI"/>
      <w:b/>
      <w:bCs/>
      <w:sz w:val="18"/>
      <w:szCs w:val="18"/>
    </w:rPr>
  </w:style>
  <w:style w:type="character" w:customStyle="1" w:styleId="FontStyle147">
    <w:name w:val="Font Style147"/>
    <w:basedOn w:val="a0"/>
    <w:uiPriority w:val="99"/>
    <w:rsid w:val="00B52144"/>
    <w:rPr>
      <w:rFonts w:ascii="Segoe UI" w:hAnsi="Segoe UI" w:cs="Segoe UI"/>
      <w:sz w:val="18"/>
      <w:szCs w:val="18"/>
    </w:rPr>
  </w:style>
  <w:style w:type="character" w:customStyle="1" w:styleId="FontStyle148">
    <w:name w:val="Font Style148"/>
    <w:basedOn w:val="a0"/>
    <w:uiPriority w:val="99"/>
    <w:rsid w:val="00B52144"/>
    <w:rPr>
      <w:rFonts w:ascii="Segoe UI" w:hAnsi="Segoe UI" w:cs="Segoe U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52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144"/>
    <w:rPr>
      <w:rFonts w:ascii="Segoe UI" w:eastAsiaTheme="minorEastAsia" w:hAnsi="Segoe UI" w:cs="Segoe UI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52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144"/>
    <w:rPr>
      <w:rFonts w:ascii="Segoe UI" w:eastAsiaTheme="minorEastAsia" w:hAnsi="Segoe UI" w:cs="Segoe U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5325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32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РИО-СОЦМП</dc:creator>
  <cp:keywords/>
  <dc:description/>
  <cp:lastModifiedBy>РИО-СОЦМП</cp:lastModifiedBy>
  <cp:revision>10</cp:revision>
  <cp:lastPrinted>2018-01-26T11:15:00Z</cp:lastPrinted>
  <dcterms:created xsi:type="dcterms:W3CDTF">2018-01-26T09:48:00Z</dcterms:created>
  <dcterms:modified xsi:type="dcterms:W3CDTF">2018-01-29T07:54:00Z</dcterms:modified>
</cp:coreProperties>
</file>